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3mjgit9cj1x" w:id="0"/>
      <w:bookmarkEnd w:id="0"/>
      <w:r w:rsidDel="00000000" w:rsidR="00000000" w:rsidRPr="00000000">
        <w:rPr>
          <w:rtl w:val="0"/>
        </w:rPr>
        <w:t xml:space="preserve">Turnier Packliste Fechten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Fechtzeug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Fechtjacke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Fechthose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Handschuh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Maske + Kabel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Unterziehweste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Körper-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Kabel (mind. 2 x)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Brustschutz (Frauen)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Softlayer f. Brustschutz (Florett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Frauen)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Waffe (mind. 2 x)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Fechtsocken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Fechtschuhe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E-Weste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Fechtpass + Lizenz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Gesundheitsattest (U 18) nicht älter als 365 Tage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Haargummi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Trainingsanzug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Sportshirts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Getränke (Wasser, Saftschorle, isotonische Getränke,...)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Essen (gut portionierbar)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Duschdas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Handtuch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Klamotten für hinterher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Socken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Unterwäsche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4010025</wp:posOffset>
            </wp:positionH>
            <wp:positionV relativeFrom="paragraph">
              <wp:posOffset>38100</wp:posOffset>
            </wp:positionV>
            <wp:extent cx="2380269" cy="2380269"/>
            <wp:effectExtent b="370989" l="370989" r="370989" t="370989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383146">
                      <a:off x="0" y="0"/>
                      <a:ext cx="2380269" cy="23802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Geld (für Kiosk, Ausrüster etc.)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evtl. Kopfhörer und Musik zum entspannen/ konzentrieren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evtl.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Fachärztliches Attest (Dopingkontrolle)</w:t>
        </w:r>
      </w:hyperlink>
      <w:r w:rsidDel="00000000" w:rsidR="00000000" w:rsidRPr="00000000">
        <w:rPr>
          <w:sz w:val="24"/>
          <w:szCs w:val="24"/>
          <w:rtl w:val="0"/>
        </w:rPr>
        <w:t xml:space="preserve"> (für Dopingrelevante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Substanzen/Methoden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𛲣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𛲡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𛲣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𛲣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da.de/medizin/im-krankheitsfall/verbotene-substanzen-und-methoden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sv-schrobenhausen.de/assets/Fechten/Downloads/Ausruestungsvorschriften.pdf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ssv-schrobenhausen.de/assets/Fechten/Downloads/2019-Fachaerztliches-Att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